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D0A47" w14:textId="2B6D00EF" w:rsidR="009F2A10" w:rsidRPr="006A30D5" w:rsidRDefault="009F2A10" w:rsidP="00566111">
      <w:pPr>
        <w:widowControl w:val="0"/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頁1</w:t>
      </w:r>
    </w:p>
    <w:p w14:paraId="33E0136B" w14:textId="77777777" w:rsidR="00000D98" w:rsidRPr="006A30D5" w:rsidRDefault="00000D9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6C2A7608" w14:textId="77777777" w:rsidR="006A30D5" w:rsidRDefault="009F2A10" w:rsidP="00566111">
      <w:pPr>
        <w:spacing w:after="0" w:line="240" w:lineRule="exact"/>
        <w:rPr>
          <w:rFonts w:ascii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香港特別行政區政府</w:t>
      </w:r>
    </w:p>
    <w:p w14:paraId="153090E5" w14:textId="57242040" w:rsidR="009F2A10" w:rsidRPr="006A30D5" w:rsidRDefault="006A30D5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>
        <w:rPr>
          <w:rFonts w:ascii="新細明體" w:eastAsia="新細明體" w:hAnsi="新細明體" w:hint="eastAsia"/>
          <w:sz w:val="24"/>
          <w:szCs w:val="24"/>
        </w:rPr>
        <w:t>衛</w:t>
      </w:r>
      <w:r w:rsidR="009F2A10" w:rsidRPr="006A30D5">
        <w:rPr>
          <w:rFonts w:ascii="新細明體" w:eastAsia="新細明體" w:hAnsi="新細明體" w:hint="eastAsia"/>
          <w:sz w:val="24"/>
          <w:szCs w:val="24"/>
        </w:rPr>
        <w:t>生署</w:t>
      </w:r>
      <w:r>
        <w:rPr>
          <w:rFonts w:ascii="新細明體" w:eastAsia="新細明體" w:hAnsi="新細明體" w:hint="eastAsia"/>
          <w:sz w:val="24"/>
          <w:szCs w:val="24"/>
          <w:lang w:eastAsia="zh-TW"/>
        </w:rPr>
        <w:t xml:space="preserve"> </w:t>
      </w:r>
      <w:r>
        <w:rPr>
          <w:rFonts w:ascii="新細明體" w:eastAsia="新細明體" w:hAnsi="新細明體" w:hint="eastAsia"/>
          <w:sz w:val="24"/>
          <w:szCs w:val="24"/>
        </w:rPr>
        <w:t>衛</w:t>
      </w:r>
      <w:r w:rsidR="009F2A10" w:rsidRPr="006A30D5">
        <w:rPr>
          <w:rFonts w:ascii="新細明體" w:eastAsia="新細明體" w:hAnsi="新細明體" w:hint="eastAsia"/>
          <w:sz w:val="24"/>
          <w:szCs w:val="24"/>
        </w:rPr>
        <w:t>生防護中心</w:t>
      </w:r>
    </w:p>
    <w:p w14:paraId="033358B8" w14:textId="12848B8B" w:rsidR="009F2A10" w:rsidRPr="006A30D5" w:rsidRDefault="009F2A10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飲食與營養</w:t>
      </w:r>
      <w:r w:rsidR="006A30D5" w:rsidRPr="006A30D5">
        <w:rPr>
          <w:rFonts w:ascii="新細明體" w:eastAsia="新細明體" w:hAnsi="新細明體" w:hint="eastAsia"/>
          <w:sz w:val="24"/>
          <w:szCs w:val="24"/>
        </w:rPr>
        <w:t>－</w:t>
      </w:r>
      <w:r w:rsidRPr="006A30D5">
        <w:rPr>
          <w:rFonts w:ascii="新細明體" w:eastAsia="新細明體" w:hAnsi="新細明體" w:hint="eastAsia"/>
          <w:sz w:val="24"/>
          <w:szCs w:val="24"/>
        </w:rPr>
        <w:t>健康資訊</w:t>
      </w:r>
    </w:p>
    <w:p w14:paraId="63DF2ECF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健康飲食金字塔 均衡營養好體格</w:t>
      </w:r>
    </w:p>
    <w:p w14:paraId="04139C3D" w14:textId="77777777" w:rsidR="000F1AEF" w:rsidRPr="006A30D5" w:rsidRDefault="000F1AE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7F5D7CE4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bookmarkStart w:id="0" w:name="_Hlk129191810"/>
      <w:r w:rsidRPr="006A30D5">
        <w:rPr>
          <w:rFonts w:ascii="新細明體" w:eastAsia="新細明體" w:hAnsi="新細明體" w:hint="eastAsia"/>
          <w:sz w:val="24"/>
          <w:szCs w:val="24"/>
        </w:rPr>
        <w:t>健康飲食金字塔</w:t>
      </w:r>
    </w:p>
    <w:bookmarkEnd w:id="0"/>
    <w:p w14:paraId="408D2187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均衡飲食是維持健康的要素，我們應依照「健康飲食金字塔」的原則飲食，以穀物類為主，並多吃蔬菜及水果，進食適量的肉、魚、蛋和奶類及其代替品，減少鹽、油、糖分；並以去肥剩瘦，多採用低油量的烹調方法如蒸、燉、炆、烚、白灼等或用易潔鑊煮食，及減少煎炸，以求達致飲食均衡、促進健康。</w:t>
      </w:r>
    </w:p>
    <w:p w14:paraId="014C04B3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5C5CF389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在各類食物中，我應該吃多少才能保持健康？</w:t>
      </w:r>
    </w:p>
    <w:p w14:paraId="74F7A490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5B710CCA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進食正確的食物種類</w:t>
      </w:r>
    </w:p>
    <w:p w14:paraId="1B04918E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不同食物有不同的營養價值，因此身體不能從單一食物中得到全部所需營養素。根據健康飲食金字塔，我們需要進食各大類別食物，同時也要進食每一大類別中不同的食物，以吸收各種營養素，滿足身體所需。</w:t>
      </w:r>
    </w:p>
    <w:p w14:paraId="1950A4D8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45D0A50C" w14:textId="77777777" w:rsidR="003E6838" w:rsidRPr="006A30D5" w:rsidRDefault="003E6838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進食正確的份量</w:t>
      </w:r>
    </w:p>
    <w:p w14:paraId="70588823" w14:textId="1E57E3EA" w:rsidR="003E6838" w:rsidRDefault="003E6838" w:rsidP="00566111">
      <w:pPr>
        <w:spacing w:after="0" w:line="240" w:lineRule="exact"/>
        <w:rPr>
          <w:rFonts w:ascii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進食太多或太少都不利於身體健康，我們的身體每天需要一定分量的營養素來維持最佳狀態。如果進食不足，就很可能出現營養不良或相關營養缺乏的症狀；相反，若進食過量，則可導致營養過多或增加肥胖的機會。因此，要維持身體健康，我們需進食合適的分量。</w:t>
      </w:r>
    </w:p>
    <w:p w14:paraId="0F6B8B32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03783245" w14:textId="6D02AFEB" w:rsidR="004173B9" w:rsidRPr="00566111" w:rsidRDefault="00BE6CCD" w:rsidP="00566111">
      <w:pPr>
        <w:pStyle w:val="a7"/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noProof/>
        </w:rPr>
        <w:object w:dxaOrig="12945" w:dyaOrig="9450" w14:anchorId="0FE15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95pt;height:141.95pt" o:ole="">
            <v:imagedata r:id="rId6" o:title=""/>
          </v:shape>
          <o:OLEObject Type="Embed" ProgID="PBrush" ShapeID="_x0000_i1025" DrawAspect="Content" ObjectID="_1740397495" r:id="rId7"/>
        </w:object>
      </w:r>
      <w:r w:rsidR="006A30D5">
        <w:rPr>
          <w:noProof/>
        </w:rPr>
        <w:t xml:space="preserve"> </w:t>
      </w:r>
      <w:r w:rsidR="007F335F" w:rsidRPr="00566111">
        <w:rPr>
          <w:rFonts w:ascii="新細明體" w:eastAsia="新細明體" w:hAnsi="新細明體" w:hint="eastAsia"/>
          <w:sz w:val="24"/>
          <w:szCs w:val="24"/>
        </w:rPr>
        <w:t>◎圖片</w:t>
      </w:r>
      <w:r w:rsidR="007F335F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◎</w:t>
      </w:r>
      <w:r w:rsidR="006A30D5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 xml:space="preserve"> </w:t>
      </w:r>
      <w:r w:rsidR="007F335F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描述</w:t>
      </w:r>
      <w:r w:rsidR="006A30D5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：一幅</w:t>
      </w:r>
      <w:r w:rsidR="006A30D5" w:rsidRPr="00566111">
        <w:rPr>
          <w:rFonts w:ascii="新細明體" w:eastAsia="新細明體" w:hAnsi="新細明體" w:hint="eastAsia"/>
          <w:sz w:val="24"/>
          <w:szCs w:val="24"/>
        </w:rPr>
        <w:t>健康飲食金字塔</w:t>
      </w:r>
      <w:r w:rsidR="006A30D5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圖</w:t>
      </w:r>
      <w:r w:rsidR="004173B9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，飲食金字塔分為四層，最頂層有油、鹽、糖，第二層有肉、魚、蛋及代替品、奶類及代替品，第三層有蔬菜</w:t>
      </w:r>
      <w:bookmarkStart w:id="1" w:name="_Hlk129192152"/>
      <w:r w:rsidR="004173B9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類</w:t>
      </w:r>
      <w:bookmarkEnd w:id="1"/>
      <w:r w:rsidR="004173B9" w:rsidRPr="00566111">
        <w:rPr>
          <w:rFonts w:ascii="新細明體" w:eastAsia="新細明體" w:hAnsi="新細明體" w:hint="eastAsia"/>
          <w:sz w:val="24"/>
          <w:szCs w:val="24"/>
          <w:lang w:eastAsia="zh-TW"/>
        </w:rPr>
        <w:t>和水果類，最底層是穀物類，包括粥、粉、麵、飯等。</w:t>
      </w:r>
    </w:p>
    <w:p w14:paraId="03264791" w14:textId="6E9431BB" w:rsidR="00BE6CCD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  <w:lang w:eastAsia="zh-TW"/>
        </w:rPr>
      </w:pPr>
    </w:p>
    <w:p w14:paraId="342834B3" w14:textId="77777777" w:rsidR="007F335F" w:rsidRPr="006A30D5" w:rsidRDefault="00ED1463" w:rsidP="00566111">
      <w:pPr>
        <w:spacing w:after="0" w:line="240" w:lineRule="exact"/>
        <w:rPr>
          <w:rFonts w:ascii="新細明體" w:eastAsia="新細明體" w:hAnsi="新細明體"/>
          <w:sz w:val="24"/>
          <w:szCs w:val="24"/>
          <w:lang w:eastAsia="zh-TW"/>
        </w:rPr>
      </w:pPr>
      <w:r w:rsidRPr="006A30D5">
        <w:rPr>
          <w:rFonts w:ascii="新細明體" w:eastAsia="新細明體" w:hAnsi="新細明體" w:hint="eastAsia"/>
          <w:sz w:val="24"/>
          <w:szCs w:val="24"/>
          <w:lang w:eastAsia="zh-TW"/>
        </w:rPr>
        <w:t>健康飲食金字塔</w:t>
      </w:r>
    </w:p>
    <w:p w14:paraId="057A8EB3" w14:textId="075614A8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吃最多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－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</w:t>
      </w:r>
    </w:p>
    <w:p w14:paraId="49C10A12" w14:textId="5F5C4492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吃多些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－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蔬菜和水果類</w:t>
      </w:r>
    </w:p>
    <w:p w14:paraId="0DAC325A" w14:textId="60067C1E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吃適量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－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（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包括乾豆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）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和奶類及代替品</w:t>
      </w:r>
    </w:p>
    <w:p w14:paraId="22146A0F" w14:textId="56985198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吃最少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－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</w:t>
      </w:r>
    </w:p>
    <w:p w14:paraId="0435803E" w14:textId="3D53667E" w:rsidR="00BE6CCD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每天喝足夠的流質飲品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（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包括清水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、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清茶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、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清湯等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）</w:t>
      </w:r>
    </w:p>
    <w:p w14:paraId="1385863F" w14:textId="77777777" w:rsidR="007F335F" w:rsidRPr="002561DA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047BC973" w14:textId="56F77F7B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2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-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5歲兒童健康飲食金字塔</w:t>
      </w:r>
    </w:p>
    <w:p w14:paraId="1BEBFAD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穀物類：1.5至3碗</w:t>
      </w:r>
    </w:p>
    <w:p w14:paraId="470327E8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蔬菜類：最少1.5份</w:t>
      </w:r>
    </w:p>
    <w:p w14:paraId="5F1EB74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水果類：最少1份</w:t>
      </w:r>
    </w:p>
    <w:p w14:paraId="386A5AB7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肉、魚、蛋及代替品：1.5至3兩</w:t>
      </w:r>
    </w:p>
    <w:p w14:paraId="6326E73C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奶類及代替品：2份</w:t>
      </w:r>
    </w:p>
    <w:p w14:paraId="6681D0F2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油、鹽、糖類：吃最少</w:t>
      </w:r>
    </w:p>
    <w:p w14:paraId="1D39C030" w14:textId="7267A323" w:rsidR="00566111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流質飲品：4至5杯</w:t>
      </w:r>
    </w:p>
    <w:p w14:paraId="79BA1294" w14:textId="68B274C8" w:rsidR="007F335F" w:rsidRDefault="00566111" w:rsidP="00566111">
      <w:pPr>
        <w:rPr>
          <w:rFonts w:ascii="新細明體" w:eastAsia="新細明體" w:hAnsi="新細明體"/>
          <w:sz w:val="24"/>
          <w:szCs w:val="24"/>
        </w:rPr>
      </w:pPr>
      <w:r>
        <w:rPr>
          <w:rFonts w:ascii="新細明體" w:eastAsia="新細明體" w:hAnsi="新細明體"/>
          <w:sz w:val="24"/>
          <w:szCs w:val="24"/>
        </w:rPr>
        <w:br w:type="page"/>
      </w:r>
      <w:r w:rsidRPr="006A30D5">
        <w:rPr>
          <w:rFonts w:ascii="新細明體" w:eastAsia="新細明體" w:hAnsi="新細明體" w:hint="eastAsia"/>
          <w:sz w:val="24"/>
          <w:szCs w:val="24"/>
        </w:rPr>
        <w:lastRenderedPageBreak/>
        <w:t>頁</w:t>
      </w:r>
      <w:r w:rsidR="002561DA">
        <w:rPr>
          <w:rFonts w:ascii="新細明體" w:eastAsia="新細明體" w:hAnsi="新細明體"/>
          <w:sz w:val="24"/>
          <w:szCs w:val="24"/>
        </w:rPr>
        <w:t>2</w:t>
      </w:r>
    </w:p>
    <w:p w14:paraId="4B8EB6F8" w14:textId="2C62EF54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3D0E3783" w14:textId="5D913659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6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-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11歲兒童健康飲食金字塔</w:t>
      </w:r>
    </w:p>
    <w:p w14:paraId="65747A40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穀物類：3至4碗</w:t>
      </w:r>
    </w:p>
    <w:p w14:paraId="4082C50A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蔬菜類：最少2份</w:t>
      </w:r>
    </w:p>
    <w:p w14:paraId="73CDD7A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水果類：最少2份</w:t>
      </w:r>
    </w:p>
    <w:p w14:paraId="3AD77617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肉、魚、蛋及代替品：3至5兩</w:t>
      </w:r>
    </w:p>
    <w:p w14:paraId="76DA2865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奶類及代替品：2份</w:t>
      </w:r>
    </w:p>
    <w:p w14:paraId="2A4C94F1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油、鹽、糖類：吃最少</w:t>
      </w:r>
    </w:p>
    <w:p w14:paraId="56FAAAE8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流質飲品：6至8杯</w:t>
      </w:r>
    </w:p>
    <w:p w14:paraId="697B5973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3C238272" w14:textId="4FA61C7B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12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-</w:t>
      </w:r>
      <w:r w:rsidR="004173B9">
        <w:rPr>
          <w:rFonts w:ascii="新細明體" w:eastAsia="新細明體" w:hAnsi="新細明體"/>
          <w:sz w:val="24"/>
          <w:szCs w:val="24"/>
        </w:rPr>
        <w:t xml:space="preserve"> </w:t>
      </w:r>
      <w:r w:rsidRPr="006A30D5">
        <w:rPr>
          <w:rFonts w:ascii="新細明體" w:eastAsia="新細明體" w:hAnsi="新細明體" w:hint="eastAsia"/>
          <w:sz w:val="24"/>
          <w:szCs w:val="24"/>
        </w:rPr>
        <w:t>17歲青少年健康飲食金字塔</w:t>
      </w:r>
    </w:p>
    <w:p w14:paraId="395017F2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穀物類：4至6碗</w:t>
      </w:r>
    </w:p>
    <w:p w14:paraId="50B3722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蔬菜類：最少3份</w:t>
      </w:r>
    </w:p>
    <w:p w14:paraId="0F2F612B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水果類：最少2份</w:t>
      </w:r>
    </w:p>
    <w:p w14:paraId="27AF7308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肉、魚、蛋及代替品：4至6兩</w:t>
      </w:r>
    </w:p>
    <w:p w14:paraId="10DCCD88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奶類及代替品：2份</w:t>
      </w:r>
    </w:p>
    <w:p w14:paraId="01C582CC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油、鹽、糖類：吃最少</w:t>
      </w:r>
    </w:p>
    <w:p w14:paraId="11377BEB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流質飲品：6至8杯</w:t>
      </w:r>
    </w:p>
    <w:p w14:paraId="18999582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57094A02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成人健康飲食金字塔</w:t>
      </w:r>
    </w:p>
    <w:p w14:paraId="1A6907E5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穀物類：3至8碗</w:t>
      </w:r>
    </w:p>
    <w:p w14:paraId="4A609583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蔬菜類：最少3份</w:t>
      </w:r>
    </w:p>
    <w:p w14:paraId="76549AB4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水果類：最少2份</w:t>
      </w:r>
    </w:p>
    <w:p w14:paraId="26BFDC9C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肉、魚、蛋及代替品：5至8兩</w:t>
      </w:r>
    </w:p>
    <w:p w14:paraId="297F11D5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奶類及代替品：1至2份</w:t>
      </w:r>
    </w:p>
    <w:p w14:paraId="0ADBE4F6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油、鹽、糖類：吃最少</w:t>
      </w:r>
    </w:p>
    <w:p w14:paraId="30EB56E8" w14:textId="6A84321E" w:rsidR="00BE6CCD" w:rsidRDefault="00141DB9" w:rsidP="00566111">
      <w:pPr>
        <w:spacing w:after="0" w:line="240" w:lineRule="exact"/>
        <w:rPr>
          <w:rFonts w:ascii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流質飲品：6至8杯</w:t>
      </w:r>
    </w:p>
    <w:p w14:paraId="6C83A979" w14:textId="12097B79" w:rsidR="00566111" w:rsidRDefault="00566111" w:rsidP="00566111">
      <w:pPr>
        <w:spacing w:after="0" w:line="240" w:lineRule="exact"/>
        <w:rPr>
          <w:rFonts w:ascii="新細明體" w:hAnsi="新細明體"/>
          <w:sz w:val="24"/>
          <w:szCs w:val="24"/>
        </w:rPr>
      </w:pPr>
    </w:p>
    <w:p w14:paraId="0A24AE1C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長者健康飲食金字塔</w:t>
      </w:r>
    </w:p>
    <w:p w14:paraId="3C38106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穀物類：3至5碗</w:t>
      </w:r>
    </w:p>
    <w:p w14:paraId="4DDA5460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蔬菜類：最少3份</w:t>
      </w:r>
    </w:p>
    <w:p w14:paraId="4BE3C49C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水果類：最少2份</w:t>
      </w:r>
    </w:p>
    <w:p w14:paraId="7BFA776D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肉、魚、蛋及代替品：5至6兩</w:t>
      </w:r>
    </w:p>
    <w:p w14:paraId="52C479DF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奶類及代替品：1至2份</w:t>
      </w:r>
    </w:p>
    <w:p w14:paraId="568441CB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油、鹽、糖類：吃最少</w:t>
      </w:r>
    </w:p>
    <w:p w14:paraId="2ADCE429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流質飲品：6至8杯</w:t>
      </w:r>
    </w:p>
    <w:p w14:paraId="7729C372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183BE25B" w14:textId="77777777" w:rsidR="007F335F" w:rsidRPr="00BE6CCD" w:rsidRDefault="007F335F" w:rsidP="00566111">
      <w:pPr>
        <w:spacing w:after="0" w:line="240" w:lineRule="exact"/>
        <w:rPr>
          <w:rFonts w:ascii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食物分量換算：</w:t>
      </w:r>
    </w:p>
    <w:p w14:paraId="4C676CF0" w14:textId="329F6BAF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1碗穀物相等於：</w:t>
      </w:r>
    </w:p>
    <w:p w14:paraId="36CB0FA6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1碗飯</w:t>
      </w:r>
    </w:p>
    <w:p w14:paraId="272432B1" w14:textId="5068308E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/>
          <w:sz w:val="24"/>
          <w:szCs w:val="24"/>
        </w:rPr>
        <w:t>1</w:t>
      </w:r>
      <w:r w:rsidR="004173B9" w:rsidRPr="004173B9">
        <w:rPr>
          <w:rFonts w:ascii="新細明體" w:eastAsia="新細明體" w:hAnsi="新細明體" w:hint="eastAsia"/>
          <w:sz w:val="24"/>
          <w:szCs w:val="24"/>
        </w:rPr>
        <w:t>又</w:t>
      </w:r>
      <w:r w:rsidR="007F335F" w:rsidRPr="006A30D5">
        <w:rPr>
          <w:rFonts w:ascii="新細明體" w:eastAsia="新細明體" w:hAnsi="新細明體"/>
          <w:sz w:val="24"/>
          <w:szCs w:val="24"/>
        </w:rPr>
        <w:t>1</w:t>
      </w:r>
      <w:r w:rsidR="004173B9">
        <w:rPr>
          <w:rFonts w:ascii="新細明體" w:eastAsia="新細明體" w:hAnsi="新細明體"/>
          <w:sz w:val="24"/>
          <w:szCs w:val="24"/>
        </w:rPr>
        <w:t>/4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碗麵</w:t>
      </w:r>
    </w:p>
    <w:p w14:paraId="32B96C8B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2片麵包</w:t>
      </w:r>
    </w:p>
    <w:p w14:paraId="0E85EBD6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42B53454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1份蔬菜相等於：</w:t>
      </w:r>
    </w:p>
    <w:p w14:paraId="3CA54E36" w14:textId="09EB4439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/>
          <w:sz w:val="24"/>
          <w:szCs w:val="24"/>
        </w:rPr>
        <w:t>1</w:t>
      </w:r>
      <w:r w:rsidR="00BE6CCD">
        <w:rPr>
          <w:rFonts w:ascii="新細明體" w:eastAsia="新細明體" w:hAnsi="新細明體"/>
          <w:sz w:val="24"/>
          <w:szCs w:val="24"/>
        </w:rPr>
        <w:t>/</w:t>
      </w:r>
      <w:r w:rsidR="007F335F" w:rsidRPr="006A30D5">
        <w:rPr>
          <w:rFonts w:ascii="新細明體" w:eastAsia="新細明體" w:hAnsi="新細明體"/>
          <w:sz w:val="24"/>
          <w:szCs w:val="24"/>
        </w:rPr>
        <w:t xml:space="preserve">2 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碗煮熟瓜菜</w:t>
      </w:r>
    </w:p>
    <w:p w14:paraId="2CB64356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1碗沙律菜</w:t>
      </w:r>
    </w:p>
    <w:p w14:paraId="67420C49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6BDE48C0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1份水果相等於：</w:t>
      </w:r>
    </w:p>
    <w:p w14:paraId="4999CDBC" w14:textId="1586D303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1個中型蘋果</w:t>
      </w:r>
    </w:p>
    <w:p w14:paraId="2C767300" w14:textId="7059D2F5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2個奇異果</w:t>
      </w:r>
    </w:p>
    <w:p w14:paraId="57268856" w14:textId="1F0AA544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/>
          <w:sz w:val="24"/>
          <w:szCs w:val="24"/>
        </w:rPr>
        <w:t>1</w:t>
      </w:r>
      <w:r>
        <w:rPr>
          <w:rFonts w:ascii="新細明體" w:eastAsia="新細明體" w:hAnsi="新細明體"/>
          <w:sz w:val="24"/>
          <w:szCs w:val="24"/>
        </w:rPr>
        <w:t>/2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碗切粒水果</w:t>
      </w:r>
    </w:p>
    <w:p w14:paraId="7C493410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1F5F4E70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1兩肉相等於：</w:t>
      </w:r>
    </w:p>
    <w:p w14:paraId="2650E5A6" w14:textId="32AA865F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4</w:t>
      </w:r>
      <w:r w:rsidR="00BE6CCD">
        <w:rPr>
          <w:rFonts w:ascii="新細明體" w:eastAsia="新細明體" w:hAnsi="新細明體"/>
          <w:sz w:val="24"/>
          <w:szCs w:val="24"/>
        </w:rPr>
        <w:t xml:space="preserve"> 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-</w:t>
      </w:r>
      <w:r w:rsidR="00BE6CCD">
        <w:rPr>
          <w:rFonts w:ascii="新細明體" w:eastAsia="新細明體" w:hAnsi="新細明體"/>
          <w:sz w:val="24"/>
          <w:szCs w:val="24"/>
        </w:rPr>
        <w:t xml:space="preserve"> 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5片熟肉</w:t>
      </w:r>
    </w:p>
    <w:p w14:paraId="0886C54F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1隻雞蛋</w:t>
      </w:r>
    </w:p>
    <w:p w14:paraId="354C1D6C" w14:textId="3D68D90A" w:rsidR="00566111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1磚布包豆腐</w:t>
      </w:r>
    </w:p>
    <w:p w14:paraId="63314FC9" w14:textId="69354CBC" w:rsidR="00566111" w:rsidRDefault="00566111" w:rsidP="00566111">
      <w:pPr>
        <w:rPr>
          <w:rFonts w:ascii="新細明體" w:eastAsia="新細明體" w:hAnsi="新細明體"/>
          <w:sz w:val="24"/>
          <w:szCs w:val="24"/>
        </w:rPr>
      </w:pPr>
      <w:r>
        <w:rPr>
          <w:rFonts w:ascii="新細明體" w:eastAsia="新細明體" w:hAnsi="新細明體"/>
          <w:sz w:val="24"/>
          <w:szCs w:val="24"/>
        </w:rPr>
        <w:br w:type="page"/>
      </w:r>
      <w:r w:rsidRPr="006A30D5">
        <w:rPr>
          <w:rFonts w:ascii="新細明體" w:eastAsia="新細明體" w:hAnsi="新細明體" w:hint="eastAsia"/>
          <w:sz w:val="24"/>
          <w:szCs w:val="24"/>
        </w:rPr>
        <w:lastRenderedPageBreak/>
        <w:t>頁</w:t>
      </w:r>
      <w:r w:rsidR="002561DA">
        <w:rPr>
          <w:rFonts w:ascii="新細明體" w:eastAsia="新細明體" w:hAnsi="新細明體"/>
          <w:sz w:val="24"/>
          <w:szCs w:val="24"/>
        </w:rPr>
        <w:t>3</w:t>
      </w:r>
    </w:p>
    <w:p w14:paraId="44119B24" w14:textId="77777777" w:rsidR="00ED1463" w:rsidRPr="006A30D5" w:rsidRDefault="00ED1463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</w:p>
    <w:p w14:paraId="727984EC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1份奶類及代替品相等於：</w:t>
      </w:r>
    </w:p>
    <w:p w14:paraId="3AED5190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1杯低脂奶</w:t>
      </w:r>
    </w:p>
    <w:p w14:paraId="3D5ED6A8" w14:textId="77777777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2片低脂芝士</w:t>
      </w:r>
    </w:p>
    <w:p w14:paraId="7A5DC099" w14:textId="5DB5213D" w:rsidR="007F335F" w:rsidRPr="006A30D5" w:rsidRDefault="00141DB9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1小盒</w:t>
      </w:r>
      <w:r w:rsidR="00BE6CCD" w:rsidRPr="00BE6CCD">
        <w:rPr>
          <w:rFonts w:ascii="新細明體" w:eastAsia="新細明體" w:hAnsi="新細明體" w:hint="eastAsia"/>
          <w:sz w:val="24"/>
          <w:szCs w:val="24"/>
        </w:rPr>
        <w:t>（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150克</w:t>
      </w:r>
      <w:r w:rsidR="00BE6CCD" w:rsidRPr="00BE6CCD">
        <w:rPr>
          <w:rFonts w:ascii="新細明體" w:eastAsia="新細明體" w:hAnsi="新細明體" w:hint="eastAsia"/>
          <w:sz w:val="24"/>
          <w:szCs w:val="24"/>
        </w:rPr>
        <w:t>）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低脂純味乳酪</w:t>
      </w:r>
    </w:p>
    <w:p w14:paraId="79B2980D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 xml:space="preserve"> </w:t>
      </w:r>
    </w:p>
    <w:p w14:paraId="53802F45" w14:textId="77777777" w:rsidR="007F335F" w:rsidRPr="006A30D5" w:rsidRDefault="007F335F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 w:hint="eastAsia"/>
          <w:sz w:val="24"/>
          <w:szCs w:val="24"/>
        </w:rPr>
        <w:t>註：</w:t>
      </w:r>
    </w:p>
    <w:p w14:paraId="77A25057" w14:textId="2879DD70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1兩約等於40克</w:t>
      </w:r>
      <w:r w:rsidRPr="00BE6CCD">
        <w:rPr>
          <w:rFonts w:ascii="新細明體" w:eastAsia="新細明體" w:hAnsi="新細明體" w:hint="eastAsia"/>
          <w:sz w:val="24"/>
          <w:szCs w:val="24"/>
        </w:rPr>
        <w:t>（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生肉</w:t>
      </w:r>
      <w:r w:rsidRPr="00BE6CCD">
        <w:rPr>
          <w:rFonts w:ascii="新細明體" w:eastAsia="新細明體" w:hAnsi="新細明體" w:hint="eastAsia"/>
          <w:sz w:val="24"/>
          <w:szCs w:val="24"/>
        </w:rPr>
        <w:t>）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。</w:t>
      </w:r>
    </w:p>
    <w:p w14:paraId="28F1177D" w14:textId="52642AEE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1碗約等於250</w:t>
      </w:r>
      <w:r w:rsidR="002561DA">
        <w:rPr>
          <w:rFonts w:ascii="新細明體" w:eastAsia="新細明體" w:hAnsi="新細明體"/>
          <w:sz w:val="24"/>
          <w:szCs w:val="24"/>
        </w:rPr>
        <w:t xml:space="preserve"> -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 xml:space="preserve"> 300毫升。</w:t>
      </w:r>
    </w:p>
    <w:p w14:paraId="441ECFE1" w14:textId="3C101A47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1杯約等於240毫升。</w:t>
      </w:r>
    </w:p>
    <w:p w14:paraId="126BBE5C" w14:textId="01319247" w:rsidR="007F335F" w:rsidRPr="006A30D5" w:rsidRDefault="00BE6CCD" w:rsidP="00566111">
      <w:pPr>
        <w:spacing w:after="0" w:line="240" w:lineRule="exact"/>
        <w:rPr>
          <w:rFonts w:ascii="新細明體" w:eastAsia="新細明體" w:hAnsi="新細明體"/>
          <w:sz w:val="24"/>
          <w:szCs w:val="24"/>
        </w:rPr>
      </w:pPr>
      <w:r w:rsidRPr="006A30D5">
        <w:rPr>
          <w:rFonts w:ascii="新細明體" w:eastAsia="新細明體" w:hAnsi="新細明體"/>
          <w:sz w:val="24"/>
          <w:szCs w:val="24"/>
        </w:rPr>
        <w:t>•</w:t>
      </w:r>
      <w:r w:rsidR="007F335F" w:rsidRPr="006A30D5">
        <w:rPr>
          <w:rFonts w:ascii="新細明體" w:eastAsia="新細明體" w:hAnsi="新細明體" w:hint="eastAsia"/>
          <w:sz w:val="24"/>
          <w:szCs w:val="24"/>
        </w:rPr>
        <w:t>以上建議為身體健康的人士而設，長期病患者及有特別營養需要的人士，應向家庭醫生及營養師諮詢切合個人需要的飲食建議</w:t>
      </w:r>
      <w:r w:rsidR="00F752A5" w:rsidRPr="006A30D5">
        <w:rPr>
          <w:rFonts w:ascii="新細明體" w:eastAsia="新細明體" w:hAnsi="新細明體" w:hint="eastAsia"/>
          <w:sz w:val="24"/>
          <w:szCs w:val="24"/>
        </w:rPr>
        <w:t>。</w:t>
      </w:r>
    </w:p>
    <w:sectPr w:rsidR="007F335F" w:rsidRPr="006A30D5" w:rsidSect="00BE6CCD">
      <w:pgSz w:w="11906" w:h="16838" w:code="9"/>
      <w:pgMar w:top="85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3F72C" w14:textId="77777777" w:rsidR="00910337" w:rsidRDefault="00910337" w:rsidP="00910337">
      <w:pPr>
        <w:spacing w:after="0" w:line="240" w:lineRule="auto"/>
      </w:pPr>
      <w:r>
        <w:separator/>
      </w:r>
    </w:p>
  </w:endnote>
  <w:endnote w:type="continuationSeparator" w:id="0">
    <w:p w14:paraId="780CA5EE" w14:textId="77777777" w:rsidR="00910337" w:rsidRDefault="00910337" w:rsidP="0091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DF237" w14:textId="77777777" w:rsidR="00910337" w:rsidRDefault="00910337" w:rsidP="00910337">
      <w:pPr>
        <w:spacing w:after="0" w:line="240" w:lineRule="auto"/>
      </w:pPr>
      <w:r>
        <w:separator/>
      </w:r>
    </w:p>
  </w:footnote>
  <w:footnote w:type="continuationSeparator" w:id="0">
    <w:p w14:paraId="08E3488F" w14:textId="77777777" w:rsidR="00910337" w:rsidRDefault="00910337" w:rsidP="0091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6EE"/>
    <w:rsid w:val="00000D98"/>
    <w:rsid w:val="000F1AEF"/>
    <w:rsid w:val="00141DB9"/>
    <w:rsid w:val="002561DA"/>
    <w:rsid w:val="003E6838"/>
    <w:rsid w:val="004173B9"/>
    <w:rsid w:val="004A36EE"/>
    <w:rsid w:val="00566111"/>
    <w:rsid w:val="00586F6B"/>
    <w:rsid w:val="006A30D5"/>
    <w:rsid w:val="007F335F"/>
    <w:rsid w:val="008F09A1"/>
    <w:rsid w:val="00910337"/>
    <w:rsid w:val="009D07A2"/>
    <w:rsid w:val="009F2A10"/>
    <w:rsid w:val="00BE6CCD"/>
    <w:rsid w:val="00ED1463"/>
    <w:rsid w:val="00F752A5"/>
    <w:rsid w:val="00F9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948BFA"/>
  <w15:chartTrackingRefBased/>
  <w15:docId w15:val="{4A9FCF72-47F3-4A09-AA87-E25D7E83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03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03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0337"/>
    <w:rPr>
      <w:sz w:val="20"/>
      <w:szCs w:val="20"/>
    </w:rPr>
  </w:style>
  <w:style w:type="paragraph" w:styleId="a7">
    <w:name w:val="No Spacing"/>
    <w:uiPriority w:val="1"/>
    <w:qFormat/>
    <w:rsid w:val="005661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Ip</dc:creator>
  <cp:keywords/>
  <dc:description/>
  <cp:lastModifiedBy>Fung Tsz Sum</cp:lastModifiedBy>
  <cp:revision>2</cp:revision>
  <dcterms:created xsi:type="dcterms:W3CDTF">2023-03-15T06:58:00Z</dcterms:created>
  <dcterms:modified xsi:type="dcterms:W3CDTF">2023-03-15T06:58:00Z</dcterms:modified>
</cp:coreProperties>
</file>